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Arial" w:hAnsi="Arial"/>
          <w:sz w:val="24"/>
          <w:szCs w:val="24"/>
        </w:rPr>
      </w:pPr>
      <w:r>
        <w:rPr>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b/>
          <w:i w:val="false"/>
          <w:iCs w:val="false"/>
          <w:color w:val="000000"/>
          <w:sz w:val="24"/>
          <w:szCs w:val="24"/>
        </w:rPr>
        <w:t>AVISO DE DISPENSA ELETRÔNICA Nº 9001</w:t>
      </w:r>
      <w:r>
        <w:rPr>
          <w:b/>
          <w:i w:val="false"/>
          <w:iCs w:val="false"/>
          <w:color w:val="000000"/>
          <w:sz w:val="24"/>
          <w:szCs w:val="24"/>
        </w:rPr>
        <w:t>6</w:t>
      </w:r>
      <w:r>
        <w:rPr>
          <w:b/>
          <w:i w:val="false"/>
          <w:iCs w:val="false"/>
          <w:color w:val="000000"/>
          <w:sz w:val="24"/>
          <w:szCs w:val="24"/>
        </w:rPr>
        <w:t>/2024</w:t>
      </w:r>
    </w:p>
    <w:p>
      <w:pPr>
        <w:pStyle w:val="Normal"/>
        <w:spacing w:lineRule="auto" w:line="276" w:before="0" w:after="120"/>
        <w:ind w:left="0" w:right="-15" w:hanging="0"/>
        <w:jc w:val="center"/>
        <w:rPr/>
      </w:pPr>
      <w:r>
        <w:rPr>
          <w:b/>
          <w:i w:val="false"/>
          <w:iCs w:val="false"/>
          <w:color w:val="000000"/>
          <w:sz w:val="24"/>
          <w:szCs w:val="24"/>
        </w:rPr>
        <w:t xml:space="preserve">(Processo Administrativo </w:t>
      </w:r>
      <w:r>
        <w:rPr>
          <w:rStyle w:val="Nfaseforte"/>
          <w:rFonts w:eastAsia="Times New Roman" w:cs="Arial" w:ascii="Arial" w:hAnsi="Arial"/>
          <w:b/>
          <w:bCs/>
          <w:i w:val="false"/>
          <w:iCs w:val="false"/>
          <w:color w:val="000000"/>
          <w:kern w:val="0"/>
          <w:sz w:val="24"/>
          <w:szCs w:val="24"/>
          <w:shd w:fill="auto" w:val="clear"/>
          <w:lang w:val="pt-BR" w:eastAsia="pt-BR" w:bidi="ar-SA"/>
        </w:rPr>
        <w:t>n.</w:t>
      </w:r>
      <w:r>
        <w:rPr>
          <w:rStyle w:val="Nfaseforte"/>
          <w:rFonts w:eastAsia="Times New Roman" w:cs="Arial" w:ascii="Arial" w:hAnsi="Arial"/>
          <w:b/>
          <w:bCs/>
          <w:i w:val="false"/>
          <w:iCs w:val="false"/>
          <w:color w:val="000000"/>
          <w:kern w:val="0"/>
          <w:sz w:val="24"/>
          <w:szCs w:val="24"/>
          <w:lang w:val="pt-BR" w:eastAsia="pt-BR" w:bidi="ar-SA"/>
        </w:rPr>
        <w:t>°</w:t>
      </w:r>
      <w:r>
        <w:rPr>
          <w:rStyle w:val="Nfaseforte"/>
          <w:rFonts w:eastAsia="Times New Roman" w:cs="Arial" w:ascii="Arial" w:hAnsi="Arial"/>
          <w:i w:val="false"/>
          <w:iCs w:val="false"/>
          <w:color w:val="000000"/>
          <w:kern w:val="0"/>
          <w:sz w:val="24"/>
          <w:szCs w:val="24"/>
          <w:lang w:val="pt-BR" w:eastAsia="pt-BR" w:bidi="ar-SA"/>
        </w:rPr>
        <w:t>63430.001150/2024-76</w:t>
      </w:r>
      <w:r>
        <w:rPr>
          <w:rStyle w:val="Nfaseforte"/>
          <w:rFonts w:eastAsia="Times New Roman" w:cs="Arial"/>
          <w:i w:val="false"/>
          <w:iCs w:val="false"/>
          <w:color w:val="000000"/>
          <w:kern w:val="0"/>
          <w:sz w:val="24"/>
          <w:szCs w:val="24"/>
          <w:lang w:val="pt-BR" w:eastAsia="pt-BR" w:bidi="ar-SA"/>
        </w:rPr>
        <w:t>)</w:t>
      </w:r>
    </w:p>
    <w:p>
      <w:pPr>
        <w:pStyle w:val="Normal"/>
        <w:jc w:val="both"/>
        <w:rPr>
          <w:rFonts w:ascii="Arial" w:hAnsi="Arial"/>
          <w:i w:val="false"/>
          <w:i w:val="false"/>
          <w:iCs w:val="false"/>
          <w:sz w:val="24"/>
          <w:szCs w:val="24"/>
        </w:rPr>
      </w:pPr>
      <w:r>
        <w:rPr>
          <w:i w:val="false"/>
          <w:iCs w:val="false"/>
          <w:sz w:val="24"/>
          <w:szCs w:val="24"/>
        </w:rPr>
      </w:r>
    </w:p>
    <w:p>
      <w:pPr>
        <w:pStyle w:val="Normal"/>
        <w:spacing w:lineRule="auto" w:line="276" w:before="0" w:after="120"/>
        <w:ind w:left="0" w:right="-30" w:firstLine="540"/>
        <w:jc w:val="both"/>
        <w:rPr>
          <w:rFonts w:ascii="Arial" w:hAnsi="Arial"/>
          <w:sz w:val="24"/>
          <w:szCs w:val="24"/>
        </w:rPr>
      </w:pPr>
      <w:r>
        <w:rPr>
          <w:i w:val="false"/>
          <w:iCs w:val="false"/>
          <w:color w:val="000000"/>
          <w:sz w:val="24"/>
          <w:szCs w:val="24"/>
        </w:rPr>
        <w:t>Torna-se público que o Batalhão de Operações Especiais de Fuzileiros Navais, por meio do Setor de obtenção, realizará Dispensa Eletrônica, com critério de julgamento</w:t>
      </w:r>
      <w:r>
        <w:rPr>
          <w:b/>
          <w:i w:val="false"/>
          <w:iCs w:val="false"/>
          <w:color w:val="000000"/>
          <w:sz w:val="24"/>
          <w:szCs w:val="24"/>
        </w:rPr>
        <w:t xml:space="preserve"> </w:t>
      </w:r>
      <w:r>
        <w:rPr>
          <w:b w:val="false"/>
          <w:bCs w:val="false"/>
          <w:i w:val="false"/>
          <w:iCs w:val="false"/>
          <w:color w:val="000000"/>
          <w:sz w:val="24"/>
          <w:szCs w:val="24"/>
        </w:rPr>
        <w:t>menor preço,</w:t>
      </w:r>
      <w:r>
        <w:rPr>
          <w:b/>
          <w:i w:val="false"/>
          <w:iCs w:val="false"/>
          <w:color w:val="000000"/>
          <w:sz w:val="24"/>
          <w:szCs w:val="24"/>
        </w:rPr>
        <w:t xml:space="preserve"> </w:t>
      </w:r>
      <w:r>
        <w:rPr>
          <w:i w:val="false"/>
          <w:iCs w:val="false"/>
          <w:color w:val="000000"/>
          <w:sz w:val="24"/>
          <w:szCs w:val="24"/>
        </w:rPr>
        <w:t>na hipótese do art. 75, inciso</w:t>
      </w:r>
      <w:r>
        <w:rPr>
          <w:b/>
          <w:i w:val="false"/>
          <w:iCs w:val="false"/>
          <w:color w:val="000000"/>
          <w:sz w:val="24"/>
          <w:szCs w:val="24"/>
        </w:rPr>
        <w:t xml:space="preserve"> II</w:t>
      </w:r>
      <w:r>
        <w:rPr>
          <w:i w:val="false"/>
          <w:iCs w:val="false"/>
          <w:color w:val="000000"/>
          <w:sz w:val="24"/>
          <w:szCs w:val="24"/>
        </w:rPr>
        <w:t>,</w:t>
      </w:r>
      <w:r>
        <w:rPr>
          <w:i w:val="false"/>
          <w:iCs w:val="false"/>
          <w:color w:val="FF0000"/>
          <w:sz w:val="24"/>
          <w:szCs w:val="24"/>
        </w:rPr>
        <w:t xml:space="preserve"> </w:t>
      </w:r>
      <w:r>
        <w:rPr>
          <w:i w:val="false"/>
          <w:iCs w:val="false"/>
          <w:sz w:val="24"/>
          <w:szCs w:val="24"/>
        </w:rPr>
        <w:t>nos termos da Lei nº 14.133, de 1º de abril de 2021, da Instrução Normativa SEGES/ME nº 67/2021 e demais legislação aplicável</w:t>
      </w:r>
      <w:r>
        <w:rPr>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jc w:val="both"/>
        <w:rPr>
          <w:rFonts w:ascii="Arial" w:hAnsi="Arial"/>
          <w:sz w:val="24"/>
          <w:szCs w:val="24"/>
        </w:rPr>
      </w:pPr>
      <w:r>
        <w:rPr>
          <w:i w:val="false"/>
          <w:iCs w:val="false"/>
          <w:color w:val="000000"/>
          <w:sz w:val="24"/>
          <w:szCs w:val="24"/>
        </w:rPr>
        <w:t>Data da sessão:         /         /2024</w:t>
      </w:r>
    </w:p>
    <w:p>
      <w:pPr>
        <w:pStyle w:val="Normal"/>
        <w:jc w:val="both"/>
        <w:rPr>
          <w:rFonts w:ascii="Arial" w:hAnsi="Arial"/>
          <w:sz w:val="24"/>
          <w:szCs w:val="24"/>
        </w:rPr>
      </w:pPr>
      <w:r>
        <w:rPr>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OBJETO DA CONTRATAÇÃO DIRETA</w:t>
      </w:r>
    </w:p>
    <w:p>
      <w:pPr>
        <w:pStyle w:val="Normal"/>
        <w:keepNext w:val="true"/>
        <w:keepLines w:val="false"/>
        <w:widowControl/>
        <w:numPr>
          <w:ilvl w:val="1"/>
          <w:numId w:val="3"/>
        </w:numPr>
        <w:spacing w:lineRule="auto" w:line="276" w:before="120" w:after="12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objeto da presente dispensa é a escolha da proposta mais vantajosa para a aquisição, por dispensa de licitação,</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de </w:t>
      </w:r>
      <w:r>
        <w:rPr>
          <w:rFonts w:eastAsia="Times New Roman" w:cs="Times New Roman" w:ascii="Arial" w:hAnsi="Arial"/>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eastAsia="zxx" w:bidi="zxx"/>
        </w:rPr>
        <w:t xml:space="preserve">material de expediente para o setor de segurança orgânica </w:t>
      </w:r>
      <w:r>
        <w:rPr>
          <w:rFonts w:eastAsia="Times New Roman" w:cs="Times New Roman" w:ascii="Arial" w:hAnsi="Arial"/>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eastAsia="zxx" w:bidi="zxx"/>
        </w:rPr>
        <w:t>do batalhão</w:t>
      </w:r>
      <w:r>
        <w:rPr>
          <w:rStyle w:val="Fontepargpadro"/>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val="zxx" w:eastAsia="zxx" w:bidi="zxx"/>
        </w:rPr>
        <w:t>,</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aquisição será dividida em itens</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conforme tabela constante abaixo.</w:t>
      </w:r>
    </w:p>
    <w:tbl>
      <w:tblPr>
        <w:tblW w:w="10890" w:type="dxa"/>
        <w:jc w:val="left"/>
        <w:tblInd w:w="-497" w:type="dxa"/>
        <w:tblCellMar>
          <w:top w:w="0" w:type="dxa"/>
          <w:left w:w="63" w:type="dxa"/>
          <w:bottom w:w="0" w:type="dxa"/>
          <w:right w:w="108" w:type="dxa"/>
        </w:tblCellMar>
      </w:tblPr>
      <w:tblGrid>
        <w:gridCol w:w="569"/>
        <w:gridCol w:w="2325"/>
        <w:gridCol w:w="675"/>
        <w:gridCol w:w="895"/>
        <w:gridCol w:w="1046"/>
        <w:gridCol w:w="777"/>
        <w:gridCol w:w="1125"/>
        <w:gridCol w:w="1157"/>
        <w:gridCol w:w="1240"/>
        <w:gridCol w:w="1080"/>
      </w:tblGrid>
      <w:tr>
        <w:trPr/>
        <w:tc>
          <w:tcPr>
            <w:tcW w:w="569"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ITEM</w:t>
            </w:r>
          </w:p>
          <w:p>
            <w:pPr>
              <w:pStyle w:val="Normal"/>
              <w:widowControl w:val="false"/>
              <w:suppressAutoHyphens w:val="true"/>
              <w:spacing w:lineRule="auto" w:line="276" w:before="0" w:after="0"/>
              <w:jc w:val="center"/>
              <w:rPr>
                <w:rFonts w:ascii="Arial" w:hAnsi="Arial" w:cs="Arial"/>
                <w:b/>
                <w:b/>
                <w:bCs/>
                <w:color w:val="000000"/>
                <w:sz w:val="18"/>
                <w:szCs w:val="18"/>
              </w:rPr>
            </w:pPr>
            <w:r>
              <w:rPr>
                <w:rFonts w:cs="Arial"/>
                <w:b/>
                <w:bCs/>
                <w:color w:val="000000"/>
                <w:sz w:val="18"/>
                <w:szCs w:val="18"/>
              </w:rPr>
            </w:r>
          </w:p>
        </w:tc>
        <w:tc>
          <w:tcPr>
            <w:tcW w:w="23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ESPECIFICAÇÃO</w:t>
            </w:r>
          </w:p>
        </w:tc>
        <w:tc>
          <w:tcPr>
            <w:tcW w:w="675" w:type="dxa"/>
            <w:tcBorders>
              <w:top w:val="single" w:sz="4" w:space="0" w:color="000001"/>
              <w:left w:val="single" w:sz="4" w:space="0" w:color="000001"/>
              <w:bottom w:val="single" w:sz="4" w:space="0" w:color="000001"/>
            </w:tcBorders>
          </w:tcPr>
          <w:p>
            <w:pPr>
              <w:pStyle w:val="Normal"/>
              <w:widowControl w:val="false"/>
              <w:suppressAutoHyphens w:val="true"/>
              <w:spacing w:lineRule="auto" w:line="276" w:before="0" w:after="0"/>
              <w:jc w:val="center"/>
              <w:rPr>
                <w:sz w:val="18"/>
                <w:szCs w:val="18"/>
              </w:rPr>
            </w:pPr>
            <w:r>
              <w:rPr>
                <w:b/>
                <w:bCs/>
                <w:sz w:val="18"/>
                <w:szCs w:val="18"/>
              </w:rPr>
              <w:t>PDM</w:t>
            </w:r>
          </w:p>
        </w:tc>
        <w:tc>
          <w:tcPr>
            <w:tcW w:w="89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b/>
                <w:bCs/>
                <w:sz w:val="18"/>
                <w:szCs w:val="18"/>
              </w:rPr>
              <w:t>CATMAT</w:t>
            </w:r>
          </w:p>
        </w:tc>
        <w:tc>
          <w:tcPr>
            <w:tcW w:w="1046"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UNIDADE DE MEDIDA</w:t>
            </w:r>
          </w:p>
        </w:tc>
        <w:tc>
          <w:tcPr>
            <w:tcW w:w="777"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QUANT</w:t>
            </w:r>
          </w:p>
        </w:tc>
        <w:tc>
          <w:tcPr>
            <w:tcW w:w="11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VALOR UNITÁRIO</w:t>
            </w:r>
          </w:p>
        </w:tc>
        <w:tc>
          <w:tcPr>
            <w:tcW w:w="1157"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VALOR TOTAL</w:t>
            </w:r>
          </w:p>
        </w:tc>
        <w:tc>
          <w:tcPr>
            <w:tcW w:w="124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8"/>
                <w:szCs w:val="18"/>
              </w:rPr>
            </w:pPr>
            <w:r>
              <w:rPr>
                <w:b/>
                <w:bCs/>
                <w:i w:val="false"/>
                <w:iCs w:val="false"/>
                <w:color w:val="000000"/>
                <w:sz w:val="18"/>
                <w:szCs w:val="18"/>
              </w:rPr>
              <w:t>LOCAL DE ENTREGA</w:t>
            </w:r>
          </w:p>
        </w:tc>
        <w:tc>
          <w:tcPr>
            <w:tcW w:w="108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8"/>
                <w:szCs w:val="18"/>
              </w:rPr>
            </w:pPr>
            <w:r>
              <w:rPr>
                <w:b/>
                <w:bCs/>
                <w:i w:val="false"/>
                <w:iCs w:val="false"/>
                <w:color w:val="000000"/>
                <w:sz w:val="18"/>
                <w:szCs w:val="18"/>
              </w:rPr>
              <w:t>PRAZO DE ENTREGA</w:t>
            </w:r>
          </w:p>
        </w:tc>
      </w:tr>
      <w:tr>
        <w:trPr>
          <w:trHeight w:val="1055" w:hRule="atLeast"/>
        </w:trPr>
        <w:tc>
          <w:tcPr>
            <w:tcW w:w="569"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2325"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Lacre ancora azul com arame (numerado)</w:t>
              <w:br/>
              <w:t>Tipo do fio: 2x26</w:t>
              <w:br/>
              <w:br/>
              <w:t>Comprimento do fio: 30cm</w:t>
              <w:br/>
              <w:br/>
              <w:t>Os lacres são unitários, e embalados em pacotes com 100 unidades.</w:t>
              <w:br/>
              <w:t>Material Injetado: Polipropileno</w:t>
              <w:br/>
              <w:t>Características:</w:t>
              <w:br/>
              <w:br/>
              <w:t>Comprimento Total do Lacre: 300 mm</w:t>
              <w:br/>
              <w:t>Dimensões da lapela: 2x0,5 mm</w:t>
              <w:br/>
              <w:t>Largura da Cabeça: 6x8 mm</w:t>
              <w:br/>
              <w:t>Processo de Gravação: Hot Stamp</w:t>
              <w:br/>
              <w:t>Dimensão da Gravação: 20x5mm</w:t>
            </w:r>
          </w:p>
        </w:tc>
        <w:tc>
          <w:tcPr>
            <w:tcW w:w="675" w:type="dxa"/>
            <w:tcBorders>
              <w:top w:val="single" w:sz="4" w:space="0" w:color="000001"/>
              <w:left w:val="single" w:sz="4" w:space="0" w:color="000001"/>
              <w:bottom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1169</w:t>
            </w:r>
          </w:p>
        </w:tc>
        <w:tc>
          <w:tcPr>
            <w:tcW w:w="895"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405458</w:t>
            </w:r>
          </w:p>
        </w:tc>
        <w:tc>
          <w:tcPr>
            <w:tcW w:w="1046"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777"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10</w:t>
            </w:r>
          </w:p>
        </w:tc>
        <w:tc>
          <w:tcPr>
            <w:tcW w:w="1125"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sz w:val="18"/>
                <w:szCs w:val="18"/>
              </w:rPr>
            </w:pPr>
            <w:r>
              <w:rPr>
                <w:rFonts w:ascii="Arial" w:hAnsi="Arial"/>
                <w:sz w:val="18"/>
                <w:szCs w:val="18"/>
              </w:rPr>
              <w:t>R$ 46,90</w:t>
            </w:r>
          </w:p>
        </w:tc>
        <w:tc>
          <w:tcPr>
            <w:tcW w:w="1157"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R$ 469,00</w:t>
            </w:r>
          </w:p>
        </w:tc>
        <w:tc>
          <w:tcPr>
            <w:tcW w:w="124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8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2</w:t>
            </w:r>
          </w:p>
        </w:tc>
        <w:tc>
          <w:tcPr>
            <w:tcW w:w="23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Papel opaline A4 180g (210mm x 297mm) 175 micras</w:t>
              <w:br/>
              <w:t>Pacote com 50 unidades</w:t>
            </w:r>
          </w:p>
        </w:tc>
        <w:tc>
          <w:tcPr>
            <w:tcW w:w="675" w:type="dxa"/>
            <w:tcBorders>
              <w:left w:val="single" w:sz="4" w:space="0" w:color="000001"/>
              <w:bottom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170</w:t>
            </w:r>
          </w:p>
        </w:tc>
        <w:tc>
          <w:tcPr>
            <w:tcW w:w="89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200399</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18"/>
                <w:szCs w:val="18"/>
              </w:rPr>
            </w:pPr>
            <w:r>
              <w:rPr>
                <w:rFonts w:ascii="Arial" w:hAnsi="Arial"/>
                <w:sz w:val="18"/>
                <w:szCs w:val="18"/>
              </w:rPr>
              <w:t>R$ 19,20</w:t>
            </w:r>
          </w:p>
        </w:tc>
        <w:tc>
          <w:tcPr>
            <w:tcW w:w="115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R$ 19,20</w:t>
            </w:r>
          </w:p>
        </w:tc>
        <w:tc>
          <w:tcPr>
            <w:tcW w:w="124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3</w:t>
            </w:r>
          </w:p>
        </w:tc>
        <w:tc>
          <w:tcPr>
            <w:tcW w:w="23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Plastificação pouch film (220mm x 307mm) 175 micras</w:t>
              <w:br/>
              <w:t>Pacote com 50 unidades</w:t>
            </w:r>
          </w:p>
        </w:tc>
        <w:tc>
          <w:tcPr>
            <w:tcW w:w="675" w:type="dxa"/>
            <w:tcBorders>
              <w:left w:val="single" w:sz="4" w:space="0" w:color="000001"/>
              <w:bottom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15447</w:t>
            </w:r>
          </w:p>
        </w:tc>
        <w:tc>
          <w:tcPr>
            <w:tcW w:w="89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331093</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18"/>
                <w:szCs w:val="18"/>
              </w:rPr>
            </w:pPr>
            <w:r>
              <w:rPr>
                <w:rFonts w:ascii="Arial" w:hAnsi="Arial"/>
                <w:sz w:val="18"/>
                <w:szCs w:val="18"/>
              </w:rPr>
              <w:t>R$ 57,00</w:t>
            </w:r>
          </w:p>
        </w:tc>
        <w:tc>
          <w:tcPr>
            <w:tcW w:w="115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R$ 57,00</w:t>
            </w:r>
          </w:p>
        </w:tc>
        <w:tc>
          <w:tcPr>
            <w:tcW w:w="124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4</w:t>
            </w:r>
          </w:p>
        </w:tc>
        <w:tc>
          <w:tcPr>
            <w:tcW w:w="23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Plástico para plastificação de identidade II (80mm x 110mm)</w:t>
              <w:br/>
              <w:t>Pacote de 100 unidades</w:t>
            </w:r>
          </w:p>
        </w:tc>
        <w:tc>
          <w:tcPr>
            <w:tcW w:w="675" w:type="dxa"/>
            <w:tcBorders>
              <w:left w:val="single" w:sz="4" w:space="0" w:color="000001"/>
              <w:bottom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15447</w:t>
            </w:r>
          </w:p>
        </w:tc>
        <w:tc>
          <w:tcPr>
            <w:tcW w:w="895"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331094</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18"/>
                <w:szCs w:val="18"/>
              </w:rPr>
            </w:pPr>
            <w:r>
              <w:rPr>
                <w:rFonts w:ascii="Arial" w:hAnsi="Arial"/>
                <w:sz w:val="18"/>
                <w:szCs w:val="18"/>
              </w:rPr>
              <w:t>R$ 22,15</w:t>
            </w:r>
          </w:p>
        </w:tc>
        <w:tc>
          <w:tcPr>
            <w:tcW w:w="1157"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18"/>
                <w:szCs w:val="18"/>
              </w:rPr>
            </w:pPr>
            <w:r>
              <w:rPr>
                <w:rFonts w:ascii="Arial" w:hAnsi="Arial"/>
                <w:color w:val="000000"/>
                <w:sz w:val="18"/>
                <w:szCs w:val="18"/>
              </w:rPr>
              <w:t>R$ 22,15</w:t>
            </w:r>
          </w:p>
        </w:tc>
        <w:tc>
          <w:tcPr>
            <w:tcW w:w="124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rFonts w:ascii="Arial" w:hAnsi="Arial"/>
                <w:sz w:val="18"/>
                <w:szCs w:val="18"/>
              </w:rPr>
              <w:t>15 DIAS</w:t>
            </w:r>
          </w:p>
        </w:tc>
      </w:tr>
    </w:tbl>
    <w:p>
      <w:pPr>
        <w:pStyle w:val="Normal"/>
        <w:keepNext w:val="true"/>
        <w:keepLines w:val="false"/>
        <w:widowControl/>
        <w:spacing w:lineRule="auto" w:line="276" w:before="120" w:after="120"/>
        <w:ind w:left="194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pacing w:lineRule="auto" w:line="276" w:before="12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critério de julgamento adotado será o menor preço,</w:t>
      </w:r>
      <w:r>
        <w:rPr>
          <w:rFonts w:eastAsia="Arial" w:cs="Arial"/>
          <w:b w:val="false"/>
          <w:i w:val="false"/>
          <w:iCs w:val="false"/>
          <w:caps w:val="false"/>
          <w:smallCaps w:val="false"/>
          <w:strike w:val="false"/>
          <w:dstrike w:val="false"/>
          <w:color w:val="FF0000"/>
          <w:position w:val="0"/>
          <w:sz w:val="24"/>
          <w:sz w:val="24"/>
          <w:szCs w:val="24"/>
          <w:highlight w:val="white"/>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PARTICIPAÇÃO NA DISPENSA ELETRÔNICA.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i w:val="false"/>
          <w:iCs w:val="false"/>
          <w:color w:val="000000"/>
          <w:sz w:val="24"/>
          <w:szCs w:val="24"/>
        </w:rPr>
        <w:t>empresas controladoras, controladas ou coligadas, nos termos da </w:t>
      </w:r>
      <w:hyperlink r:id="rId2">
        <w:r>
          <w:rPr>
            <w:i w:val="false"/>
            <w:iCs w:val="false"/>
            <w:color w:val="000080"/>
            <w:sz w:val="24"/>
            <w:szCs w:val="24"/>
            <w:u w:val="single"/>
          </w:rPr>
          <w:t>Lei nº 6.404, de 15 de dezembro de 1976</w:t>
        </w:r>
      </w:hyperlink>
      <w:r>
        <w:rPr>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Todas as especificações do </w:t>
      </w:r>
      <w:r>
        <w:rPr>
          <w:i w:val="false"/>
          <w:iCs w:val="false"/>
          <w:color w:val="000000"/>
          <w:sz w:val="24"/>
          <w:szCs w:val="24"/>
        </w:rPr>
        <w:t>objeto</w:t>
      </w:r>
      <w:r>
        <w:rPr>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A apresentação das propostas implica obrigatoriedade do cumprimento das disposições nelas contidas, em conformidade com o que dispõe o </w:t>
      </w:r>
      <w:r>
        <w:rPr>
          <w:i w:val="false"/>
          <w:iCs w:val="false"/>
          <w:color w:val="000000"/>
          <w:sz w:val="24"/>
          <w:szCs w:val="24"/>
        </w:rPr>
        <w:t>Termo de Referência,</w:t>
      </w:r>
      <w:r>
        <w:rPr>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Uma vez enviada a proposta no sistema, os fornecedores </w:t>
      </w:r>
      <w:r>
        <w:rPr>
          <w:b/>
          <w:i w:val="false"/>
          <w:iCs w:val="false"/>
          <w:sz w:val="24"/>
          <w:szCs w:val="24"/>
        </w:rPr>
        <w:t>NÃO</w:t>
      </w:r>
      <w:r>
        <w:rPr>
          <w:i w:val="false"/>
          <w:iCs w:val="false"/>
          <w:sz w:val="24"/>
          <w:szCs w:val="24"/>
        </w:rPr>
        <w:t xml:space="preserve"> poderão retirá-la, substituí-la ou modificá-la</w:t>
      </w:r>
      <w:r>
        <w:rPr>
          <w:i w:val="false"/>
          <w:iCs w:val="false"/>
          <w:color w:val="000000"/>
          <w:sz w:val="24"/>
          <w:szCs w:val="24"/>
        </w:rPr>
        <w:t>;</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No cadastramento da proposta inicial, o fornecedor deverá, também, assinalar “sim” ou “não” em campo </w:t>
      </w:r>
      <w:r>
        <w:rPr>
          <w:i w:val="false"/>
          <w:iCs w:val="false"/>
          <w:sz w:val="24"/>
          <w:szCs w:val="24"/>
        </w:rPr>
        <w:t>próprio</w:t>
      </w:r>
      <w:r>
        <w:rPr>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color w:val="000000"/>
          <w:sz w:val="24"/>
          <w:szCs w:val="24"/>
        </w:rPr>
        <w:t xml:space="preserve">O prazo de validade </w:t>
      </w:r>
      <w:r>
        <w:rPr>
          <w:i w:val="false"/>
          <w:iCs w:val="false"/>
          <w:sz w:val="24"/>
          <w:szCs w:val="24"/>
        </w:rPr>
        <w:t>da</w:t>
      </w:r>
      <w:r>
        <w:rPr>
          <w:i w:val="false"/>
          <w:iCs w:val="false"/>
          <w:color w:val="000000"/>
          <w:sz w:val="24"/>
          <w:szCs w:val="24"/>
        </w:rPr>
        <w:t xml:space="preserve"> proposta não será inferior a 40</w:t>
      </w:r>
      <w:r>
        <w:rPr>
          <w:i w:val="false"/>
          <w:iCs w:val="false"/>
          <w:color w:val="FF0000"/>
          <w:sz w:val="24"/>
          <w:szCs w:val="24"/>
        </w:rPr>
        <w:t xml:space="preserve"> </w:t>
      </w:r>
      <w:r>
        <w:rPr>
          <w:i w:val="false"/>
          <w:iCs w:val="false"/>
          <w:color w:val="000000"/>
          <w:sz w:val="24"/>
          <w:szCs w:val="24"/>
        </w:rPr>
        <w:t>(quarenta) dias</w:t>
      </w:r>
      <w:r>
        <w:rPr>
          <w:b/>
          <w:i w:val="false"/>
          <w:iCs w:val="false"/>
          <w:color w:val="000000"/>
          <w:sz w:val="24"/>
          <w:szCs w:val="24"/>
        </w:rPr>
        <w:t>,</w:t>
      </w:r>
      <w:r>
        <w:rPr>
          <w:i w:val="false"/>
          <w:iCs w:val="false"/>
          <w:color w:val="000000"/>
          <w:sz w:val="24"/>
          <w:szCs w:val="24"/>
        </w:rPr>
        <w:t xml:space="preserve"> a contar da data de sua apresentação.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contiver vícios insanáveis;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spacing w:lineRule="auto" w:line="276" w:before="0" w:after="0"/>
        <w:ind w:left="1944"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120" w:after="0"/>
        <w:ind w:left="792" w:right="-15"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Os documentos a serem exigidos para fins de habilitação constam do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ANEXO IV – DOCUMENTAÇÃO EXIGIDA PARA HABILITAÇÃO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a) SICAF;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b) Cadastro Nacional de Empresas Inidôneas e Suspensas - CEIS, mantido pela Controladoria-Geral da União (</w:t>
      </w:r>
      <w:hyperlink r:id="rId3">
        <w:r>
          <w:rPr>
            <w:rFonts w:eastAsia="Arial" w:cs="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 Cadastro Nacional de Condenações Cíveis por Atos de Improbidade Administrativa, mantido pelo Conselho Nacional de Justiça (</w:t>
      </w:r>
      <w:hyperlink r:id="rId4">
        <w:r>
          <w:rPr>
            <w:rFonts w:eastAsia="Arial" w:cs="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i w:val="false"/>
          <w:iCs w:val="false"/>
          <w:color w:val="FF0000"/>
          <w:sz w:val="24"/>
          <w:szCs w:val="24"/>
        </w:rPr>
        <w:t xml:space="preserve"> </w:t>
      </w:r>
      <w:r>
        <w:rPr>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O prazo previsto para assinatura do contrato ou aceitação da nota de empenho ou instrumento equivalente poderá ser prorrogado </w:t>
      </w:r>
      <w:r>
        <w:rPr>
          <w:i w:val="false"/>
          <w:iCs w:val="false"/>
          <w:sz w:val="24"/>
          <w:szCs w:val="24"/>
        </w:rPr>
        <w:t xml:space="preserve">1 (uma) vez, </w:t>
      </w:r>
      <w:r>
        <w:rPr>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w:t>
      </w:r>
      <w:r>
        <w:rPr>
          <w:i w:val="false"/>
          <w:iCs w:val="false"/>
          <w:sz w:val="24"/>
          <w:szCs w:val="24"/>
        </w:rPr>
        <w:t>;</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i w:val="false"/>
          <w:iCs w:val="false"/>
          <w:color w:val="000000"/>
          <w:sz w:val="24"/>
          <w:szCs w:val="24"/>
        </w:rPr>
        <w:t>praticar ato lesivo previsto no </w:t>
      </w:r>
      <w:r>
        <w:fldChar w:fldCharType="begin"/>
      </w:r>
      <w:r>
        <w:rPr>
          <w:sz w:val="24"/>
          <w:i w:val="false"/>
          <w:szCs w:val="24"/>
          <w:iCs w:val="false"/>
          <w:color w:val="000000"/>
        </w:rPr>
        <w:instrText> HYPERLINK "http://www.planalto.gov.br/ccivil_03/_Ato2011-2014/2013/Lei/L12846.htm" \l "art5"</w:instrText>
      </w:r>
      <w:r>
        <w:rPr>
          <w:sz w:val="24"/>
          <w:i w:val="false"/>
          <w:szCs w:val="24"/>
          <w:iCs w:val="false"/>
          <w:color w:val="000000"/>
        </w:rPr>
        <w:fldChar w:fldCharType="separate"/>
      </w:r>
      <w:r>
        <w:rPr>
          <w:i w:val="false"/>
          <w:iCs w:val="false"/>
          <w:color w:val="000000"/>
          <w:sz w:val="24"/>
          <w:szCs w:val="24"/>
        </w:rPr>
        <w:t>art. 5º da Lei nº 12.846, de 1º de agosto de 2013.</w:t>
      </w:r>
      <w:r>
        <w:rPr>
          <w:sz w:val="24"/>
          <w:i w:val="false"/>
          <w:szCs w:val="24"/>
          <w:iCs w:val="false"/>
          <w:color w:val="000000"/>
        </w:rPr>
        <w:fldChar w:fldCharType="end"/>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Multa de</w:t>
      </w:r>
      <w:r>
        <w:rPr>
          <w:i w:val="false"/>
          <w:iCs w:val="false"/>
          <w:color w:val="000000"/>
          <w:sz w:val="24"/>
          <w:szCs w:val="24"/>
        </w:rPr>
        <w:t xml:space="preserve"> 3% (três por cento)</w:t>
      </w:r>
      <w:r>
        <w:rPr>
          <w:i w:val="false"/>
          <w:iCs w:val="false"/>
          <w:color w:val="FF0000"/>
          <w:sz w:val="24"/>
          <w:szCs w:val="24"/>
        </w:rPr>
        <w:t xml:space="preserve"> </w:t>
      </w:r>
      <w:r>
        <w:rPr>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Impedimento de licitar e contratar</w:t>
      </w:r>
      <w:r>
        <w:rPr>
          <w:i w:val="false"/>
          <w:iCs w:val="false"/>
          <w:sz w:val="24"/>
          <w:szCs w:val="24"/>
        </w:rPr>
        <w:t xml:space="preserve"> </w:t>
      </w:r>
      <w:r>
        <w:rPr>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i w:val="false"/>
          <w:iCs w:val="false"/>
          <w:sz w:val="24"/>
          <w:szCs w:val="24"/>
        </w:rPr>
        <w:t>;</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i w:val="false"/>
          <w:iCs w:val="false"/>
          <w:sz w:val="24"/>
          <w:szCs w:val="24"/>
        </w:rPr>
        <w:t>;</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Arial" w:hAnsi="Arial"/>
          <w:sz w:val="24"/>
          <w:szCs w:val="24"/>
        </w:rPr>
      </w:pPr>
      <w:bookmarkStart w:id="0" w:name="1fob9te"/>
      <w:bookmarkStart w:id="1" w:name="3znysh7"/>
      <w:bookmarkStart w:id="2" w:name="30j0zll"/>
      <w:bookmarkEnd w:id="0"/>
      <w:bookmarkEnd w:id="1"/>
      <w:bookmarkEnd w:id="2"/>
      <w:r>
        <w:rPr>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Arial" w:hAnsi="Arial"/>
          <w:sz w:val="24"/>
          <w:szCs w:val="24"/>
        </w:rPr>
      </w:pPr>
      <w:bookmarkStart w:id="3" w:name="2et92p0"/>
      <w:bookmarkEnd w:id="3"/>
      <w:r>
        <w:rPr>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highlight w:val="yellow"/>
        </w:rPr>
      </w:pPr>
      <w:r>
        <w:rPr>
          <w:rFonts w:cs="Arial"/>
          <w:i w:val="false"/>
          <w:iCs w:val="false"/>
          <w:color w:val="000000"/>
          <w:sz w:val="24"/>
          <w:szCs w:val="24"/>
          <w:highlight w:val="yellow"/>
        </w:rPr>
        <w:t>Gestão/Unidade: 0001/795400</w:t>
      </w:r>
    </w:p>
    <w:p>
      <w:pPr>
        <w:pStyle w:val="Normal"/>
        <w:spacing w:lineRule="auto" w:line="276" w:before="120" w:after="120"/>
        <w:ind w:left="1494" w:right="0" w:hanging="0"/>
        <w:jc w:val="both"/>
        <w:rPr>
          <w:highlight w:val="yellow"/>
        </w:rPr>
      </w:pPr>
      <w:r>
        <w:rPr>
          <w:rFonts w:cs="Arial"/>
          <w:i w:val="false"/>
          <w:iCs w:val="false"/>
          <w:color w:val="000000"/>
          <w:sz w:val="24"/>
          <w:szCs w:val="24"/>
          <w:highlight w:val="yellow"/>
        </w:rPr>
        <w:t xml:space="preserve">Fonte: </w:t>
      </w:r>
      <w:r>
        <w:rPr>
          <w:rFonts w:eastAsia="Arial" w:cs="Arial"/>
          <w:i w:val="false"/>
          <w:iCs w:val="false"/>
          <w:color w:val="000000"/>
          <w:kern w:val="0"/>
          <w:sz w:val="24"/>
          <w:szCs w:val="24"/>
          <w:highlight w:val="yellow"/>
          <w:lang w:val="pt-BR" w:eastAsia="zh-CN" w:bidi="hi-IN"/>
        </w:rPr>
        <w:t>1050000144</w:t>
      </w:r>
    </w:p>
    <w:p>
      <w:pPr>
        <w:pStyle w:val="Normal"/>
        <w:spacing w:lineRule="auto" w:line="276" w:before="120" w:after="120"/>
        <w:ind w:left="1494" w:right="0" w:hanging="0"/>
        <w:jc w:val="both"/>
        <w:rPr>
          <w:highlight w:val="yellow"/>
        </w:rPr>
      </w:pPr>
      <w:r>
        <w:rPr>
          <w:rFonts w:cs="Arial"/>
          <w:i w:val="false"/>
          <w:iCs w:val="false"/>
          <w:color w:val="000000"/>
          <w:sz w:val="24"/>
          <w:szCs w:val="24"/>
          <w:highlight w:val="yellow"/>
        </w:rPr>
        <w:t xml:space="preserve">Programa de Trabalho: </w:t>
      </w:r>
      <w:r>
        <w:rPr>
          <w:rFonts w:eastAsia="Arial" w:cs="Arial"/>
          <w:i w:val="false"/>
          <w:iCs w:val="false"/>
          <w:color w:val="000000"/>
          <w:kern w:val="0"/>
          <w:sz w:val="24"/>
          <w:szCs w:val="24"/>
          <w:highlight w:val="yellow"/>
          <w:lang w:val="pt-BR" w:eastAsia="zh-CN" w:bidi="hi-IN"/>
        </w:rPr>
        <w:t>174672</w:t>
      </w:r>
    </w:p>
    <w:p>
      <w:pPr>
        <w:pStyle w:val="Normal"/>
        <w:spacing w:lineRule="auto" w:line="276" w:before="120" w:after="120"/>
        <w:ind w:left="1494" w:right="0" w:hanging="0"/>
        <w:jc w:val="both"/>
        <w:rPr>
          <w:highlight w:val="yellow"/>
        </w:rPr>
      </w:pPr>
      <w:r>
        <w:rPr>
          <w:rFonts w:cs="Arial"/>
          <w:i w:val="false"/>
          <w:iCs w:val="false"/>
          <w:color w:val="000000"/>
          <w:sz w:val="24"/>
          <w:szCs w:val="24"/>
          <w:highlight w:val="yellow"/>
        </w:rPr>
        <w:t xml:space="preserve">Elemento de Despesa: </w:t>
      </w:r>
      <w:r>
        <w:rPr>
          <w:rFonts w:eastAsia="Arial" w:cs="Arial"/>
          <w:i w:val="false"/>
          <w:iCs w:val="false"/>
          <w:color w:val="000000"/>
          <w:kern w:val="0"/>
          <w:sz w:val="24"/>
          <w:szCs w:val="24"/>
          <w:highlight w:val="yellow"/>
          <w:lang w:val="pt-BR" w:eastAsia="zh-CN" w:bidi="hi-IN"/>
        </w:rPr>
        <w:t>339030</w:t>
      </w:r>
    </w:p>
    <w:p>
      <w:pPr>
        <w:pStyle w:val="Normal"/>
        <w:spacing w:lineRule="auto" w:line="276" w:before="120" w:after="120"/>
        <w:ind w:left="1494" w:right="0" w:hanging="0"/>
        <w:jc w:val="both"/>
        <w:rPr>
          <w:highlight w:val="yellow"/>
        </w:rPr>
      </w:pPr>
      <w:r>
        <w:rPr>
          <w:rFonts w:eastAsia="Arial" w:cs="Arial"/>
          <w:b w:val="false"/>
          <w:bCs w:val="false"/>
          <w:i w:val="false"/>
          <w:iCs w:val="false"/>
          <w:caps w:val="false"/>
          <w:smallCaps w:val="false"/>
          <w:strike w:val="false"/>
          <w:dstrike w:val="false"/>
          <w:color w:val="000000"/>
          <w:kern w:val="0"/>
          <w:position w:val="0"/>
          <w:sz w:val="24"/>
          <w:sz w:val="24"/>
          <w:szCs w:val="24"/>
          <w:highlight w:val="yellow"/>
          <w:u w:val="none"/>
          <w:vertAlign w:val="baseline"/>
          <w:lang w:val="pt-BR" w:eastAsia="zh-CN" w:bidi="hi-IN"/>
        </w:rPr>
        <w:t>PI: Z.4C3.SL.N.0.1.L0</w:t>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DAS DISPOSIÇÕES GERAIS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 </w:t>
      </w:r>
      <w:r>
        <w:rPr>
          <w:i w:val="false"/>
          <w:iCs w:val="false"/>
          <w:color w:val="000000"/>
          <w:sz w:val="24"/>
          <w:szCs w:val="24"/>
        </w:rPr>
        <w:t>ANEXO IV – Mapa Comparativo de Preços.</w:t>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i w:val="false"/>
          <w:iCs w:val="false"/>
          <w:color w:val="000000"/>
          <w:sz w:val="24"/>
          <w:szCs w:val="24"/>
        </w:rPr>
        <w:t>Rio de Janeiro ,       de                    de 2024</w:t>
      </w:r>
    </w:p>
    <w:p>
      <w:pPr>
        <w:pStyle w:val="Normal"/>
        <w:spacing w:lineRule="auto" w:line="276" w:before="0" w:after="120"/>
        <w:ind w:left="360" w:right="-15" w:hanging="0"/>
        <w:jc w:val="both"/>
        <w:rPr>
          <w:rFonts w:ascii="Arial" w:hAnsi="Arial"/>
          <w:i w:val="false"/>
          <w:i w:val="false"/>
          <w:iCs w:val="false"/>
          <w:color w:val="000000"/>
          <w:sz w:val="24"/>
          <w:szCs w:val="24"/>
        </w:rPr>
      </w:pPr>
      <w:r>
        <w:rPr>
          <w:i w:val="false"/>
          <w:iCs w:val="false"/>
          <w:color w:val="000000"/>
          <w:sz w:val="24"/>
          <w:szCs w:val="24"/>
        </w:rPr>
      </w:r>
    </w:p>
    <w:p>
      <w:pPr>
        <w:pStyle w:val="Calibri"/>
        <w:rPr>
          <w:rFonts w:ascii="Arial" w:hAnsi="Arial"/>
          <w:sz w:val="24"/>
          <w:szCs w:val="24"/>
        </w:rPr>
      </w:pPr>
      <w:r>
        <w:rPr>
          <w:rFonts w:ascii="Arial" w:hAnsi="Arial"/>
          <w:sz w:val="24"/>
          <w:szCs w:val="24"/>
        </w:rPr>
        <w:t>_____________________________________</w:t>
      </w:r>
    </w:p>
    <w:p>
      <w:pPr>
        <w:pStyle w:val="Normal"/>
        <w:jc w:val="center"/>
        <w:rPr>
          <w:rFonts w:ascii="Arial" w:hAnsi="Arial"/>
          <w:sz w:val="24"/>
          <w:szCs w:val="24"/>
        </w:rPr>
      </w:pPr>
      <w:r>
        <w:rPr>
          <w:rFonts w:eastAsia="Times New Roman" w:cs="Arial"/>
          <w:b/>
          <w:bCs/>
          <w:iCs/>
          <w:color w:val="000000"/>
          <w:sz w:val="24"/>
          <w:szCs w:val="24"/>
        </w:rPr>
        <w:t xml:space="preserve">DAGOBERTO </w:t>
      </w:r>
      <w:r>
        <w:rPr>
          <w:rFonts w:eastAsia="Times New Roman" w:cs="Arial"/>
          <w:b w:val="false"/>
          <w:bCs w:val="false"/>
          <w:iCs/>
          <w:color w:val="000000"/>
          <w:sz w:val="24"/>
          <w:szCs w:val="24"/>
        </w:rPr>
        <w:t>FERREIRA DA SILVA JUNIOR</w:t>
      </w:r>
    </w:p>
    <w:p>
      <w:pPr>
        <w:pStyle w:val="Normal"/>
        <w:spacing w:lineRule="auto" w:line="240" w:before="0" w:after="0"/>
        <w:ind w:left="0" w:right="0" w:hanging="0"/>
        <w:jc w:val="center"/>
        <w:rPr>
          <w:rFonts w:ascii="Arial" w:hAnsi="Arial"/>
          <w:sz w:val="24"/>
          <w:szCs w:val="24"/>
        </w:rPr>
      </w:pPr>
      <w:r>
        <w:rPr>
          <w:b w:val="false"/>
          <w:bCs w:val="false"/>
          <w:sz w:val="24"/>
          <w:szCs w:val="24"/>
        </w:rPr>
        <w:t xml:space="preserve">  </w:t>
      </w:r>
      <w:r>
        <w:rPr>
          <w:b w:val="false"/>
          <w:bCs w:val="false"/>
          <w:sz w:val="24"/>
          <w:szCs w:val="24"/>
        </w:rPr>
        <w:t>CMG (FN)</w:t>
      </w:r>
    </w:p>
    <w:p>
      <w:pPr>
        <w:pStyle w:val="Normal"/>
        <w:spacing w:lineRule="auto" w:line="240" w:before="114" w:after="114"/>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 </w:t>
      </w: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Arial" w:hAnsi="Arial"/>
          <w:b/>
          <w:b/>
          <w:i w:val="false"/>
          <w:i w:val="false"/>
          <w:iCs w:val="false"/>
          <w:sz w:val="24"/>
          <w:szCs w:val="24"/>
        </w:rPr>
      </w:pPr>
      <w:r>
        <w:rPr>
          <w:b/>
          <w:i w:val="false"/>
          <w:iCs w:val="false"/>
          <w:sz w:val="24"/>
          <w:szCs w:val="24"/>
        </w:rPr>
      </w:r>
    </w:p>
    <w:p>
      <w:pPr>
        <w:pStyle w:val="Normal"/>
        <w:jc w:val="both"/>
        <w:rPr>
          <w:rFonts w:ascii="Arial" w:hAnsi="Arial"/>
          <w:sz w:val="24"/>
          <w:szCs w:val="24"/>
        </w:rPr>
      </w:pPr>
      <w:r>
        <w:rPr>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shd w:val="clear" w:fill="FFFFFF"/>
        <w:spacing w:lineRule="auto" w:line="276" w:before="120" w:after="120"/>
        <w:ind w:left="360" w:right="0" w:hanging="0"/>
        <w:jc w:val="both"/>
        <w:rPr>
          <w:rFonts w:ascii="Arial" w:hAnsi="Arial"/>
          <w:sz w:val="24"/>
          <w:szCs w:val="24"/>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2.%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highlight w:val="yellow"/>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1069</TotalTime>
  <Application>LibreOffice/6.4.7.2$Linux_X86_64 LibreOffice_project/40$Build-2</Application>
  <Pages>15</Pages>
  <Words>4735</Words>
  <Characters>27163</Characters>
  <CharactersWithSpaces>31573</CharactersWithSpaces>
  <Paragraphs>245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2024-03-14T11:47:49Z</cp:lastPrinted>
  <dcterms:modified xsi:type="dcterms:W3CDTF">2024-04-09T10:48:52Z</dcterms:modified>
  <cp:revision>213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